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2D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含硅粉污水处理设备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val="en-US" w:eastAsia="zh-CN"/>
        </w:rPr>
        <w:t>采购项目询比价采购文件</w:t>
      </w:r>
    </w:p>
    <w:p w14:paraId="4995F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各报价单位：</w:t>
      </w:r>
    </w:p>
    <w:p w14:paraId="4041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下属新疆源博水环境科技有限公司需进行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含硅粉污水处理设备采购，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新特能源含硅粉污水处理设备采购项目</w:t>
      </w:r>
      <w:r>
        <w:rPr>
          <w:rFonts w:hint="eastAsia" w:ascii="Times New Roman" w:hAnsi="Times New Roman" w:eastAsia="仿宋" w:cs="Times New Roman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项目地点位于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 xml:space="preserve"> 新疆乌鲁木齐甘泉堡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请按以下要求于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color="auto" w:fill="FFFFFF"/>
          <w:lang w:val="en-US" w:eastAsia="zh-CN"/>
        </w:rPr>
        <w:t>19：00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北京时间前将报价单报至我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公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司。</w:t>
      </w:r>
    </w:p>
    <w:p w14:paraId="1A52EE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项目简介：</w:t>
      </w:r>
    </w:p>
    <w:p w14:paraId="7CA6B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项目区位于乌鲁木齐市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甘泉堡，需要能够处理含硅粉污水的水处理设备，出水要求回用，处理量为200方/天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。</w:t>
      </w:r>
    </w:p>
    <w:p w14:paraId="36DCE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报价要求</w:t>
      </w:r>
    </w:p>
    <w:p w14:paraId="49601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0D719C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程序与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要求</w:t>
      </w:r>
    </w:p>
    <w:p w14:paraId="14A74B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（一）报价格式详见《报价单》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。最高限价：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230000元。履约期限：自合同签订之日起25日内交付设备，并且调试安转完毕。</w:t>
      </w:r>
    </w:p>
    <w:p w14:paraId="3969D2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报价方式一：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盖单位公章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的纸质版报价单及营业执照复印件、法人身份证复印件；密封后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报送至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eastAsia="zh-CN"/>
        </w:rPr>
        <w:t>新疆昌源水务科学研究院有限公司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用于评选确定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报价单位；</w:t>
      </w:r>
    </w:p>
    <w:p w14:paraId="0F785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报价方式二：将加盖单位公章的报价文件（含PDF格式的营业执照、法人身份证和报价文件扫描件）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发送至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电子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xjcyswkxyjy@163.com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，邮件主题中须包含报价项目名称及报价单位名称，邮件内容中明确报价联系人及联系方式。</w:t>
      </w:r>
    </w:p>
    <w:p w14:paraId="2BA57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以上两种报价方式，报价单位自行选择其中任意一种即可。</w:t>
      </w:r>
    </w:p>
    <w:p w14:paraId="22D94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报价单位应该按照采购文件要求，一次性报出不得更改的价格，本次采购采用最低价中标法评定最终成交人。</w:t>
      </w:r>
    </w:p>
    <w:p w14:paraId="4806A58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13%;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 w14:paraId="1DB7D1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采购方付款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highlight w:val="none"/>
          <w:u w:val="none"/>
          <w:shd w:val="clear" w:color="auto" w:fill="FFFFFF"/>
          <w:lang w:eastAsia="zh-CN"/>
        </w:rPr>
        <w:t>方式：按甲方要求签订合同。</w:t>
      </w:r>
    </w:p>
    <w:p w14:paraId="5CD346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（四）报价单应于上述时限前报送至指定地点或发送至指定邮箱，未按上述要求报价的、未响应采购文件的、逾期报送的、未密封的、产品报价缺失的、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报价文件损坏无法打开的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均视为无效报价。</w:t>
      </w:r>
    </w:p>
    <w:p w14:paraId="5520F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三、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联系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方式</w:t>
      </w:r>
    </w:p>
    <w:p w14:paraId="1A0A9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联系人及电话：周女士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0991-4563015</w:t>
      </w:r>
    </w:p>
    <w:p w14:paraId="01A6E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技术顾问：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马江平  13999861695</w:t>
      </w:r>
    </w:p>
    <w:p w14:paraId="01C5A2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报价文件递交地址：乌鲁木齐南昌路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261号新疆昌源水务科学研究院有限公司</w:t>
      </w:r>
    </w:p>
    <w:p w14:paraId="5E4D7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电子报价文件发送邮箱：xjcyswkxyjy@163.com</w:t>
      </w:r>
    </w:p>
    <w:p w14:paraId="4DE275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Chars="0"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A494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采购单位：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新疆源博水环境科技有限公司</w:t>
      </w:r>
    </w:p>
    <w:p w14:paraId="14DB5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5076" w:firstLineChars="2115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p w14:paraId="6154E8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915" w:firstLineChars="1300"/>
        <w:textAlignment w:val="auto"/>
        <w:rPr>
          <w:rFonts w:hint="default" w:ascii="Times New Roman" w:hAnsi="Times New Roman" w:eastAsia="仿宋" w:cs="Times New Roman"/>
          <w:b/>
          <w:bCs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1440" w:right="1689" w:bottom="1440" w:left="16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656A11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报价单</w:t>
      </w:r>
    </w:p>
    <w:p w14:paraId="23F271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</w:p>
    <w:tbl>
      <w:tblPr>
        <w:tblStyle w:val="11"/>
        <w:tblW w:w="87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3216"/>
        <w:gridCol w:w="1702"/>
        <w:gridCol w:w="1095"/>
        <w:gridCol w:w="825"/>
        <w:gridCol w:w="618"/>
      </w:tblGrid>
      <w:tr w14:paraId="3A09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 w14:paraId="401B48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设备名称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 w14:paraId="19597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规格型号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 w14:paraId="567821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材质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 w14:paraId="041284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品牌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 w14:paraId="682E21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计量单位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00"/>
            <w:vAlign w:val="center"/>
          </w:tcPr>
          <w:p w14:paraId="6053BB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数量</w:t>
            </w:r>
          </w:p>
        </w:tc>
      </w:tr>
      <w:tr w14:paraId="2470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05DB17D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  <w:r>
              <w:rPr>
                <w:lang w:val="en-US" w:eastAsia="zh-CN"/>
              </w:rPr>
              <w:t>、提升泵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563D523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流量：</w:t>
            </w:r>
            <w:r>
              <w:rPr>
                <w:rFonts w:hint="default"/>
                <w:lang w:val="en-US" w:eastAsia="zh-CN"/>
              </w:rPr>
              <w:t>8-10 m3/h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扬程：</w:t>
            </w:r>
            <w:r>
              <w:rPr>
                <w:rFonts w:hint="default"/>
                <w:lang w:val="en-US" w:eastAsia="zh-CN"/>
              </w:rPr>
              <w:t>15-20m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功率：</w:t>
            </w:r>
            <w:r>
              <w:rPr>
                <w:rFonts w:hint="default"/>
                <w:lang w:val="en-US" w:eastAsia="zh-CN"/>
              </w:rPr>
              <w:t>1.5-2.2 kW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材质：</w:t>
            </w:r>
            <w:r>
              <w:rPr>
                <w:rFonts w:hint="default"/>
                <w:lang w:val="en-US" w:eastAsia="zh-CN"/>
              </w:rPr>
              <w:t>PE</w:t>
            </w:r>
            <w:r>
              <w:rPr>
                <w:lang w:val="en-US" w:eastAsia="zh-CN"/>
              </w:rPr>
              <w:t>或铸铁衬塑（耐腐蚀）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16B1C48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lang w:val="en-US" w:eastAsia="zh-CN"/>
              </w:rPr>
              <w:t>材质：PE或铸铁衬塑（耐腐蚀）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453A6A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南方泵/新界泵业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6B4CC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8A7B8F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243D9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7D22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  <w:r>
              <w:rPr>
                <w:lang w:val="en-US" w:eastAsia="zh-CN"/>
              </w:rPr>
              <w:t>、絮凝搅拌机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F6A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类型：立式机械搅拌机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桨叶类型：框式或桨式功率：</w:t>
            </w:r>
            <w:r>
              <w:rPr>
                <w:rFonts w:hint="default"/>
                <w:lang w:val="en-US" w:eastAsia="zh-CN"/>
              </w:rPr>
              <w:t>0.37-0.55 kW</w:t>
            </w:r>
            <w:r>
              <w:rPr>
                <w:lang w:val="en-US" w:eastAsia="zh-CN"/>
              </w:rPr>
              <w:t>转速：</w:t>
            </w:r>
            <w:r>
              <w:rPr>
                <w:rFonts w:hint="default"/>
                <w:lang w:val="en-US" w:eastAsia="zh-CN"/>
              </w:rPr>
              <w:t>~20-40 rpm</w:t>
            </w:r>
            <w:r>
              <w:rPr>
                <w:lang w:val="en-US" w:eastAsia="zh-CN"/>
              </w:rPr>
              <w:t>（可调，慢速）材质：轴</w:t>
            </w:r>
            <w:r>
              <w:rPr>
                <w:rFonts w:hint="default"/>
                <w:lang w:val="en-US" w:eastAsia="zh-CN"/>
              </w:rPr>
              <w:t>-304</w:t>
            </w:r>
            <w:r>
              <w:rPr>
                <w:lang w:val="en-US" w:eastAsia="zh-CN"/>
              </w:rPr>
              <w:t>不锈钢，桨叶</w:t>
            </w:r>
            <w:r>
              <w:rPr>
                <w:rFonts w:hint="default"/>
                <w:lang w:val="en-US" w:eastAsia="zh-CN"/>
              </w:rPr>
              <w:t>-304</w:t>
            </w:r>
            <w:r>
              <w:rPr>
                <w:lang w:val="en-US" w:eastAsia="zh-CN"/>
              </w:rPr>
              <w:t>不锈钢或碳钢衬胶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688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材质：轴</w:t>
            </w:r>
            <w:r>
              <w:rPr>
                <w:lang w:val="en-US" w:eastAsia="zh-CN"/>
              </w:rPr>
              <w:t>-304不锈钢，桨叶-304不锈钢或碳钢衬胶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765F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蓝深/小宇环境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E3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50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20EB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3C2ECAD8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  <w:r>
              <w:rPr>
                <w:lang w:val="en-US" w:eastAsia="zh-CN"/>
              </w:rPr>
              <w:t>、絮凝池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2FA4893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有效容积：</w:t>
            </w:r>
            <w:r>
              <w:rPr>
                <w:rFonts w:hint="default"/>
                <w:lang w:val="en-US" w:eastAsia="zh-CN"/>
              </w:rPr>
              <w:t xml:space="preserve">37.5 m3 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尺寸（参考）：</w:t>
            </w:r>
            <w:r>
              <w:rPr>
                <w:rFonts w:hint="default"/>
                <w:lang w:val="en-US" w:eastAsia="zh-CN"/>
              </w:rPr>
              <w:t>5.0m x2 .5m x 3.5m (H)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结构：碳钢防腐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47BB0D71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lang w:val="en-US" w:eastAsia="zh-CN"/>
              </w:rPr>
              <w:t>结构：碳钢防腐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223B3580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美之星/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A7A8B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62459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1F47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3D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  <w:r>
              <w:rPr>
                <w:lang w:val="en-US" w:eastAsia="zh-CN"/>
              </w:rPr>
              <w:t>、过滤罐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279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类型：多介质机械过滤器罐体直径：</w:t>
            </w:r>
            <w:r>
              <w:rPr>
                <w:rFonts w:hint="default"/>
                <w:lang w:val="en-US" w:eastAsia="zh-CN"/>
              </w:rPr>
              <w:t>Φ800mm - Φ1000mm</w:t>
            </w:r>
            <w:r>
              <w:rPr>
                <w:lang w:val="en-US" w:eastAsia="zh-CN"/>
              </w:rPr>
              <w:t>流量：</w:t>
            </w:r>
            <w:r>
              <w:rPr>
                <w:rFonts w:hint="default"/>
                <w:lang w:val="en-US" w:eastAsia="zh-CN"/>
              </w:rPr>
              <w:t>8-10 m3/h</w:t>
            </w:r>
            <w:r>
              <w:rPr>
                <w:lang w:val="en-US" w:eastAsia="zh-CN"/>
              </w:rPr>
              <w:t>滤料：石英砂、无烟煤等（层级填充）设计压力：</w:t>
            </w:r>
            <w:r>
              <w:rPr>
                <w:rFonts w:hint="default"/>
                <w:lang w:val="en-US" w:eastAsia="zh-CN"/>
              </w:rPr>
              <w:t>0.6 MPa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D2E8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304</w:t>
            </w:r>
            <w:r>
              <w:rPr>
                <w:lang w:val="en-US" w:eastAsia="zh-CN"/>
              </w:rPr>
              <w:t>不锈钢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D4F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济南茵翰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38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座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6768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77130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298D235B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  <w:r>
              <w:rPr>
                <w:lang w:val="en-US" w:eastAsia="zh-CN"/>
              </w:rPr>
              <w:t>、加药系统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1665EE2C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PAC/PAM</w:t>
            </w:r>
            <w:r>
              <w:rPr>
                <w:lang w:val="en-US" w:eastAsia="zh-CN"/>
              </w:rPr>
              <w:t>加药装置：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 xml:space="preserve">- </w:t>
            </w:r>
            <w:r>
              <w:rPr>
                <w:lang w:val="en-US" w:eastAsia="zh-CN"/>
              </w:rPr>
              <w:t>加药泵：机械隔膜泵，流量</w:t>
            </w:r>
            <w:r>
              <w:rPr>
                <w:rFonts w:hint="default"/>
                <w:lang w:val="en-US" w:eastAsia="zh-CN"/>
              </w:rPr>
              <w:t>0-50 L/h</w:t>
            </w:r>
            <w:r>
              <w:rPr>
                <w:lang w:val="en-US" w:eastAsia="zh-CN"/>
              </w:rPr>
              <w:t>，压力</w:t>
            </w:r>
            <w:r>
              <w:rPr>
                <w:rFonts w:hint="default"/>
                <w:lang w:val="en-US" w:eastAsia="zh-CN"/>
              </w:rPr>
              <w:t xml:space="preserve">0.3-0.5 MPa- </w:t>
            </w:r>
            <w:r>
              <w:rPr>
                <w:lang w:val="en-US" w:eastAsia="zh-CN"/>
              </w:rPr>
              <w:t>溶液箱：</w:t>
            </w:r>
            <w:r>
              <w:rPr>
                <w:rFonts w:hint="default"/>
                <w:lang w:val="en-US" w:eastAsia="zh-CN"/>
              </w:rPr>
              <w:t>PE</w:t>
            </w:r>
            <w:r>
              <w:rPr>
                <w:lang w:val="en-US" w:eastAsia="zh-CN"/>
              </w:rPr>
              <w:t>材质，容积</w:t>
            </w:r>
            <w:r>
              <w:rPr>
                <w:rFonts w:hint="default"/>
                <w:lang w:val="en-US" w:eastAsia="zh-CN"/>
              </w:rPr>
              <w:t>500L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pH</w:t>
            </w:r>
            <w:r>
              <w:rPr>
                <w:lang w:val="en-US" w:eastAsia="zh-CN"/>
              </w:rPr>
              <w:t>调节加药装置：</w:t>
            </w:r>
            <w:r>
              <w:rPr>
                <w:rFonts w:hint="default"/>
                <w:lang w:val="en-US" w:eastAsia="zh-CN"/>
              </w:rPr>
              <w:t xml:space="preserve">- </w:t>
            </w:r>
            <w:r>
              <w:rPr>
                <w:lang w:val="en-US" w:eastAsia="zh-CN"/>
              </w:rPr>
              <w:t>加药泵：机械隔膜泵或电磁隔膜泵，流量</w:t>
            </w:r>
            <w:r>
              <w:rPr>
                <w:rFonts w:hint="default"/>
                <w:lang w:val="en-US" w:eastAsia="zh-CN"/>
              </w:rPr>
              <w:t>0-20 L/h</w:t>
            </w:r>
            <w:r>
              <w:rPr>
                <w:lang w:val="en-US" w:eastAsia="zh-CN"/>
              </w:rPr>
              <w:t>，耐酸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lang w:val="en-US" w:eastAsia="zh-CN"/>
              </w:rPr>
              <w:t>碱</w:t>
            </w:r>
            <w:r>
              <w:rPr>
                <w:rFonts w:hint="default"/>
                <w:lang w:val="en-US" w:eastAsia="zh-CN"/>
              </w:rPr>
              <w:t xml:space="preserve">- </w:t>
            </w:r>
            <w:r>
              <w:rPr>
                <w:lang w:val="en-US" w:eastAsia="zh-CN"/>
              </w:rPr>
              <w:t>酸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lang w:val="en-US" w:eastAsia="zh-CN"/>
              </w:rPr>
              <w:t>碱储罐：</w:t>
            </w:r>
            <w:r>
              <w:rPr>
                <w:rFonts w:hint="default"/>
                <w:lang w:val="en-US" w:eastAsia="zh-CN"/>
              </w:rPr>
              <w:t>PE</w:t>
            </w:r>
            <w:r>
              <w:rPr>
                <w:lang w:val="en-US" w:eastAsia="zh-CN"/>
              </w:rPr>
              <w:t>材质，容积</w:t>
            </w:r>
            <w:r>
              <w:rPr>
                <w:rFonts w:hint="default"/>
                <w:lang w:val="en-US" w:eastAsia="zh-CN"/>
              </w:rPr>
              <w:t>200-300L</w:t>
            </w:r>
            <w:r>
              <w:rPr>
                <w:lang w:val="en-US" w:eastAsia="zh-CN"/>
              </w:rPr>
              <w:t>（根据水质确定酸或碱）</w:t>
            </w:r>
            <w:r>
              <w:rPr>
                <w:rFonts w:hint="default"/>
                <w:lang w:val="en-US" w:eastAsia="zh-CN"/>
              </w:rPr>
              <w:t>-?</w:t>
            </w:r>
            <w:r>
              <w:rPr>
                <w:lang w:val="en-US" w:eastAsia="zh-CN"/>
              </w:rPr>
              <w:t>核心部件：</w:t>
            </w:r>
            <w:r>
              <w:rPr>
                <w:rFonts w:hint="default"/>
                <w:lang w:val="en-US" w:eastAsia="zh-CN"/>
              </w:rPr>
              <w:t>pH</w:t>
            </w:r>
            <w:r>
              <w:rPr>
                <w:lang w:val="en-US" w:eastAsia="zh-CN"/>
              </w:rPr>
              <w:t>在线监测仪（含电极和控制表头），用于自动控制加酸</w:t>
            </w:r>
            <w:r>
              <w:rPr>
                <w:rFonts w:hint="default"/>
                <w:lang w:val="en-US" w:eastAsia="zh-CN"/>
              </w:rPr>
              <w:t>/</w:t>
            </w:r>
            <w:r>
              <w:rPr>
                <w:lang w:val="en-US" w:eastAsia="zh-CN"/>
              </w:rPr>
              <w:t>碱泵的启停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1FD40F45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 xml:space="preserve">MPa- </w:t>
            </w:r>
            <w:r>
              <w:rPr>
                <w:lang w:val="en-US" w:eastAsia="zh-CN"/>
              </w:rPr>
              <w:t>溶液箱：PE材质，储罐：PE材质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12B80DA4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阿尔道斯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5AC72E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2683D3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74742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D99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清水罐提升泵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344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流量：</w:t>
            </w:r>
            <w:r>
              <w:rPr>
                <w:rFonts w:hint="default"/>
                <w:lang w:val="en-US" w:eastAsia="zh-CN"/>
              </w:rPr>
              <w:t xml:space="preserve">8-10 m3/h </w:t>
            </w:r>
            <w:r>
              <w:rPr>
                <w:lang w:val="en-US" w:eastAsia="zh-CN"/>
              </w:rPr>
              <w:t>扬程：</w:t>
            </w:r>
            <w:r>
              <w:rPr>
                <w:rFonts w:hint="default"/>
                <w:lang w:val="en-US" w:eastAsia="zh-CN"/>
              </w:rPr>
              <w:t xml:space="preserve">15-20m  </w:t>
            </w:r>
            <w:r>
              <w:rPr>
                <w:lang w:val="en-US" w:eastAsia="zh-CN"/>
              </w:rPr>
              <w:t>功率：</w:t>
            </w:r>
            <w:r>
              <w:rPr>
                <w:rFonts w:hint="default"/>
                <w:lang w:val="en-US" w:eastAsia="zh-CN"/>
              </w:rPr>
              <w:t>1.5-2.2 kW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761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材质：</w:t>
            </w:r>
            <w:r>
              <w:rPr>
                <w:lang w:val="en-US" w:eastAsia="zh-CN"/>
              </w:rPr>
              <w:t>PE或铸铁衬塑（耐腐蚀）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F8CC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南方泵/新界泵业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8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1F5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5E67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50A5DA4B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  <w:r>
              <w:rPr>
                <w:lang w:val="en-US" w:eastAsia="zh-CN"/>
              </w:rPr>
              <w:t>、浮球液位开关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353A988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类型：电缆浮球开关</w:t>
            </w: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lang w:val="en-US" w:eastAsia="zh-CN"/>
              </w:rPr>
              <w:t>触点容量：适用于泵控电源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782BB6C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类型：电缆浮球开关</w:t>
            </w:r>
            <w:r>
              <w:rPr>
                <w:lang w:val="en-US" w:eastAsia="zh-CN"/>
              </w:rPr>
              <w:t xml:space="preserve">  触点容量：适用于泵控电源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0A7A1C26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15CDD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25B79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7B9DE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E07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自控系统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339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满足整个水流量，水质，压力等平衡控制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FF7C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AD93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/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41A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341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0F732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5647ACFE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  <w:r>
              <w:rPr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pH</w:t>
            </w:r>
            <w:r>
              <w:rPr>
                <w:lang w:val="en-US" w:eastAsia="zh-CN"/>
              </w:rPr>
              <w:t>调节搅拌机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6D3209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类型：立式机械搅拌机桨叶类型：折桨式或涡轮式功率：</w:t>
            </w:r>
            <w:r>
              <w:rPr>
                <w:rFonts w:hint="default"/>
                <w:lang w:val="en-US" w:eastAsia="zh-CN"/>
              </w:rPr>
              <w:t>0.75 kW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lang w:val="en-US" w:eastAsia="zh-CN"/>
              </w:rPr>
              <w:t>转速：</w:t>
            </w:r>
            <w:r>
              <w:rPr>
                <w:rFonts w:hint="default"/>
                <w:lang w:val="en-US" w:eastAsia="zh-CN"/>
              </w:rPr>
              <w:t>~60 rpm</w:t>
            </w:r>
            <w:r>
              <w:rPr>
                <w:lang w:val="en-US" w:eastAsia="zh-CN"/>
              </w:rPr>
              <w:t>（可调）材质：轴</w:t>
            </w:r>
            <w:r>
              <w:rPr>
                <w:rFonts w:hint="default"/>
                <w:lang w:val="en-US" w:eastAsia="zh-CN"/>
              </w:rPr>
              <w:t>-304</w:t>
            </w:r>
            <w:r>
              <w:rPr>
                <w:lang w:val="en-US" w:eastAsia="zh-CN"/>
              </w:rPr>
              <w:t>不锈钢，桨叶</w:t>
            </w:r>
            <w:r>
              <w:rPr>
                <w:rFonts w:hint="default"/>
                <w:lang w:val="en-US" w:eastAsia="zh-CN"/>
              </w:rPr>
              <w:t>-304</w:t>
            </w:r>
            <w:r>
              <w:rPr>
                <w:lang w:val="en-US" w:eastAsia="zh-CN"/>
              </w:rPr>
              <w:t>不锈钢或碳钢衬胶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6919947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材质：轴</w:t>
            </w:r>
            <w:r>
              <w:rPr>
                <w:lang w:val="en-US" w:eastAsia="zh-CN"/>
              </w:rPr>
              <w:t>-304不锈钢，桨叶-304不锈钢或碳钢衬胶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0F9F5491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斯卡特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38D9A9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386FC1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5AF9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0141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  <w:r>
              <w:rPr>
                <w:lang w:val="en-US" w:eastAsia="zh-CN"/>
              </w:rPr>
              <w:t>、潜水搅拌器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B8C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满足</w:t>
            </w:r>
            <w:r>
              <w:rPr>
                <w:rFonts w:hint="default"/>
                <w:lang w:val="en-US" w:eastAsia="zh-CN"/>
              </w:rPr>
              <w:t>30m3</w:t>
            </w:r>
            <w:r>
              <w:rPr>
                <w:lang w:val="en-US" w:eastAsia="zh-CN"/>
              </w:rPr>
              <w:t>收集池使用要求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3F9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材质：</w:t>
            </w:r>
            <w:r>
              <w:rPr>
                <w:lang w:val="en-US" w:eastAsia="zh-CN"/>
              </w:rPr>
              <w:t>PE或铸铁衬塑（耐腐蚀）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5CC3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修流/蓝深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4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B4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22F0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11751CF1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  <w:r>
              <w:rPr>
                <w:lang w:val="en-US" w:eastAsia="zh-CN"/>
              </w:rPr>
              <w:t>、过滤器反洗泵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61E7C75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流量：</w:t>
            </w:r>
            <w:r>
              <w:rPr>
                <w:rFonts w:hint="default"/>
                <w:lang w:val="en-US" w:eastAsia="zh-CN"/>
              </w:rPr>
              <w:t xml:space="preserve">25-30 m3/h </w:t>
            </w:r>
            <w:r>
              <w:rPr>
                <w:lang w:val="en-US" w:eastAsia="zh-CN"/>
              </w:rPr>
              <w:t>扬程：</w:t>
            </w:r>
            <w:r>
              <w:rPr>
                <w:rFonts w:hint="default"/>
                <w:lang w:val="en-US" w:eastAsia="zh-CN"/>
              </w:rPr>
              <w:t xml:space="preserve">18-20m  </w:t>
            </w:r>
            <w:r>
              <w:rPr>
                <w:lang w:val="en-US" w:eastAsia="zh-CN"/>
              </w:rPr>
              <w:t>功率：</w:t>
            </w:r>
            <w:r>
              <w:rPr>
                <w:rFonts w:hint="default"/>
                <w:lang w:val="en-US" w:eastAsia="zh-CN"/>
              </w:rPr>
              <w:t>3.0-4.0 kW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77B3A38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材质：</w:t>
            </w:r>
            <w:r>
              <w:rPr>
                <w:lang w:val="en-US" w:eastAsia="zh-CN"/>
              </w:rPr>
              <w:t>PE或铸铁衬塑（耐腐蚀）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vAlign w:val="center"/>
          </w:tcPr>
          <w:p w14:paraId="41BACE07">
            <w:pPr>
              <w:snapToGrid w:val="0"/>
              <w:ind w:left="0" w:leftChars="0" w:right="0" w:rightChars="0" w:firstLine="0" w:firstLineChars="0"/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南方/新界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605F92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9E1F4" w:fill="D9E1F4"/>
            <w:noWrap/>
            <w:vAlign w:val="center"/>
          </w:tcPr>
          <w:p w14:paraId="4B45EC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</w:tbl>
    <w:p w14:paraId="4E6D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5CFE0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说明：</w:t>
      </w:r>
    </w:p>
    <w:p w14:paraId="6CB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eastAsia="zh-CN"/>
        </w:rPr>
        <w:t>含增值税：</w:t>
      </w:r>
      <w:r>
        <w:rPr>
          <w:rStyle w:val="14"/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  <w:t>13%;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要求所提供的增值税发票类型为增值税专用发票。</w:t>
      </w:r>
    </w:p>
    <w:p w14:paraId="112CA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2.报价附《营业执照》《法定代表人身份证》。</w:t>
      </w:r>
    </w:p>
    <w:p w14:paraId="01AF3E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3.付款方式及完成时效：完全响应询比价采购文件要求。</w:t>
      </w:r>
    </w:p>
    <w:p w14:paraId="6C71F5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4、联系人及电话：</w:t>
      </w:r>
    </w:p>
    <w:p w14:paraId="0A26D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p w14:paraId="12577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19AEA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66BE26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（盖章）</w:t>
      </w:r>
    </w:p>
    <w:p w14:paraId="2A803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报价日期：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94B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234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234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E849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AEC2EF"/>
    <w:multiLevelType w:val="singleLevel"/>
    <w:tmpl w:val="C8AEC2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9BD9250"/>
    <w:multiLevelType w:val="singleLevel"/>
    <w:tmpl w:val="39BD92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NzkzMWY2MWIxMmM2NDI1YmIxZDIwZGVjZGM5NjkifQ=="/>
  </w:docVars>
  <w:rsids>
    <w:rsidRoot w:val="00000000"/>
    <w:rsid w:val="00E74029"/>
    <w:rsid w:val="02155CE0"/>
    <w:rsid w:val="02406218"/>
    <w:rsid w:val="027667E0"/>
    <w:rsid w:val="03CA6CE7"/>
    <w:rsid w:val="03CD74A2"/>
    <w:rsid w:val="046A321F"/>
    <w:rsid w:val="046C4660"/>
    <w:rsid w:val="054C33B7"/>
    <w:rsid w:val="088E0696"/>
    <w:rsid w:val="08F65C90"/>
    <w:rsid w:val="0BCA1E3B"/>
    <w:rsid w:val="0C063DA0"/>
    <w:rsid w:val="0D5A6742"/>
    <w:rsid w:val="0E2B3E44"/>
    <w:rsid w:val="0EC3515F"/>
    <w:rsid w:val="11DA4F25"/>
    <w:rsid w:val="15D969D2"/>
    <w:rsid w:val="162B0796"/>
    <w:rsid w:val="171B7C04"/>
    <w:rsid w:val="18712505"/>
    <w:rsid w:val="18B040D7"/>
    <w:rsid w:val="1AE65363"/>
    <w:rsid w:val="1B9A0B0A"/>
    <w:rsid w:val="1CF03481"/>
    <w:rsid w:val="1FC44AF8"/>
    <w:rsid w:val="20A16929"/>
    <w:rsid w:val="2383736D"/>
    <w:rsid w:val="25AA1D4C"/>
    <w:rsid w:val="29744AB6"/>
    <w:rsid w:val="2A365163"/>
    <w:rsid w:val="2B826753"/>
    <w:rsid w:val="2E7D06D3"/>
    <w:rsid w:val="2EF97115"/>
    <w:rsid w:val="2F2B3A09"/>
    <w:rsid w:val="2FB13087"/>
    <w:rsid w:val="3148628A"/>
    <w:rsid w:val="314A363C"/>
    <w:rsid w:val="347B0751"/>
    <w:rsid w:val="34AC3EDA"/>
    <w:rsid w:val="35444BDD"/>
    <w:rsid w:val="383D1C15"/>
    <w:rsid w:val="391F5174"/>
    <w:rsid w:val="39DF3CFF"/>
    <w:rsid w:val="3AC55FBD"/>
    <w:rsid w:val="3D855688"/>
    <w:rsid w:val="3E4A3B11"/>
    <w:rsid w:val="3FF97B90"/>
    <w:rsid w:val="40D1236C"/>
    <w:rsid w:val="429A77AC"/>
    <w:rsid w:val="43415AB5"/>
    <w:rsid w:val="43862F0C"/>
    <w:rsid w:val="460459AC"/>
    <w:rsid w:val="460912A1"/>
    <w:rsid w:val="47190850"/>
    <w:rsid w:val="488A43D1"/>
    <w:rsid w:val="48F56A03"/>
    <w:rsid w:val="4BDB1811"/>
    <w:rsid w:val="50527546"/>
    <w:rsid w:val="51D4117C"/>
    <w:rsid w:val="552C3DC6"/>
    <w:rsid w:val="569B4AA2"/>
    <w:rsid w:val="56F60B5B"/>
    <w:rsid w:val="57671164"/>
    <w:rsid w:val="576E7503"/>
    <w:rsid w:val="57EE5616"/>
    <w:rsid w:val="5BAE3A23"/>
    <w:rsid w:val="5BF94C68"/>
    <w:rsid w:val="5CD5091E"/>
    <w:rsid w:val="5EB36959"/>
    <w:rsid w:val="60131BB4"/>
    <w:rsid w:val="61E32F33"/>
    <w:rsid w:val="62FD297C"/>
    <w:rsid w:val="63DF2082"/>
    <w:rsid w:val="653737C6"/>
    <w:rsid w:val="656B62C3"/>
    <w:rsid w:val="66104101"/>
    <w:rsid w:val="66132AE9"/>
    <w:rsid w:val="67BF2C1F"/>
    <w:rsid w:val="688C79AC"/>
    <w:rsid w:val="6A6000D1"/>
    <w:rsid w:val="6C685A0A"/>
    <w:rsid w:val="6D120F08"/>
    <w:rsid w:val="6D825033"/>
    <w:rsid w:val="6DB91992"/>
    <w:rsid w:val="6E740745"/>
    <w:rsid w:val="706A5DCE"/>
    <w:rsid w:val="731F0454"/>
    <w:rsid w:val="744E128A"/>
    <w:rsid w:val="771B741D"/>
    <w:rsid w:val="773A064C"/>
    <w:rsid w:val="78040F1F"/>
    <w:rsid w:val="78157162"/>
    <w:rsid w:val="791C53B0"/>
    <w:rsid w:val="79BC7B47"/>
    <w:rsid w:val="7A9366A7"/>
    <w:rsid w:val="7B4A7736"/>
    <w:rsid w:val="7D6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sz w:val="30"/>
      <w:szCs w:val="32"/>
    </w:rPr>
  </w:style>
  <w:style w:type="character" w:default="1" w:styleId="13">
    <w:name w:val="Default Paragraph Font"/>
    <w:autoRedefine/>
    <w:qFormat/>
    <w:uiPriority w:val="0"/>
  </w:style>
  <w:style w:type="table" w:default="1" w:styleId="11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  <w:rPr>
      <w:rFonts w:ascii="Times New Roman"/>
      <w:kern w:val="2"/>
      <w:position w:val="0"/>
      <w:sz w:val="21"/>
    </w:rPr>
  </w:style>
  <w:style w:type="paragraph" w:styleId="4">
    <w:name w:val="Body Text Indent"/>
    <w:basedOn w:val="1"/>
    <w:next w:val="1"/>
    <w:autoRedefine/>
    <w:qFormat/>
    <w:uiPriority w:val="0"/>
    <w:pPr>
      <w:ind w:firstLine="640" w:firstLineChars="200"/>
    </w:pPr>
    <w:rPr>
      <w:rFonts w:ascii="Times New Roman"/>
      <w:kern w:val="2"/>
      <w:position w:val="0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0"/>
    </w:rPr>
  </w:style>
  <w:style w:type="paragraph" w:styleId="9">
    <w:name w:val="Body Text First Indent"/>
    <w:basedOn w:val="3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kern w:val="2"/>
      <w:sz w:val="21"/>
    </w:rPr>
  </w:style>
  <w:style w:type="paragraph" w:styleId="10">
    <w:name w:val="Body Text First Indent 2"/>
    <w:basedOn w:val="4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 w:eastAsia="宋体" w:cs="Times New Roman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font21"/>
    <w:basedOn w:val="1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1541</Words>
  <Characters>1823</Characters>
  <Paragraphs>168</Paragraphs>
  <TotalTime>1</TotalTime>
  <ScaleCrop>false</ScaleCrop>
  <LinksUpToDate>false</LinksUpToDate>
  <CharactersWithSpaces>1888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2023-03-30T09:28:00Z</dcterms:created>
  <dc:creator>Administrator</dc:creator>
  <cp:lastModifiedBy>조절원</cp:lastModifiedBy>
  <cp:lastPrinted>2025-05-16T01:51:00Z</cp:lastPrinted>
  <dcterms:modified xsi:type="dcterms:W3CDTF">2025-11-13T10:58:07Z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FB7D039C6E89437991E9CD3D9B05FFC6_13</vt:lpwstr>
  </property>
  <property fmtid="{D5CDD505-2E9C-101B-9397-08002B2CF9AE}" pid="4" name="KSOTemplateDocerSaveRecord">
    <vt:lpwstr>eyJoZGlkIjoiOWMyMjAyZWJkMjU5N2VlNDFmMmYzZGNmN2Y2NzQ2YzUiLCJ1c2VySWQiOiIyMDcwODU2MTUifQ==</vt:lpwstr>
  </property>
</Properties>
</file>